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9F2BD1" w:rsidTr="00031E57">
        <w:tc>
          <w:tcPr>
            <w:tcW w:w="7848" w:type="dxa"/>
          </w:tcPr>
          <w:p w:rsidR="00CB3767" w:rsidRPr="00F470EF" w:rsidRDefault="00CB3767" w:rsidP="00B57A9B">
            <w:pPr>
              <w:jc w:val="left"/>
              <w:rPr>
                <w:rFonts w:ascii="Arial" w:hAnsi="Arial" w:cs="Arial"/>
                <w:sz w:val="24"/>
                <w:szCs w:val="24"/>
              </w:rPr>
            </w:pPr>
            <w:bookmarkStart w:id="0" w:name="_GoBack"/>
            <w:bookmarkEnd w:id="0"/>
            <w:r w:rsidRPr="00F470EF">
              <w:rPr>
                <w:rFonts w:ascii="Arial" w:hAnsi="Arial" w:cs="Arial"/>
                <w:noProof/>
                <w:sz w:val="24"/>
                <w:szCs w:val="24"/>
              </w:rPr>
              <w:drawing>
                <wp:inline distT="0" distB="0" distL="0" distR="0" wp14:anchorId="1DA15420" wp14:editId="51251E39">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r w:rsidR="00265F50">
              <w:rPr>
                <w:rFonts w:ascii="Arial" w:hAnsi="Arial" w:cs="Arial"/>
                <w:noProof/>
                <w:sz w:val="24"/>
                <w:szCs w:val="24"/>
              </w:rPr>
              <w:drawing>
                <wp:inline distT="0" distB="0" distL="0" distR="0">
                  <wp:extent cx="1790700" cy="762000"/>
                  <wp:effectExtent l="0" t="0" r="0" b="0"/>
                  <wp:docPr id="2" name="Picture 2" descr="C:\Users\FJohnson\AppData\Local\Microsoft\Windows\Temporary Internet Files\Content.Outlook\AY3P6A4L\mhmc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ohnson\AppData\Local\Microsoft\Windows\Temporary Internet Files\Content.Outlook\AY3P6A4L\mhmc logo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762000"/>
                          </a:xfrm>
                          <a:prstGeom prst="rect">
                            <a:avLst/>
                          </a:prstGeom>
                          <a:noFill/>
                          <a:ln>
                            <a:noFill/>
                          </a:ln>
                        </pic:spPr>
                      </pic:pic>
                    </a:graphicData>
                  </a:graphic>
                </wp:inline>
              </w:drawing>
            </w:r>
          </w:p>
        </w:tc>
        <w:tc>
          <w:tcPr>
            <w:tcW w:w="5868" w:type="dxa"/>
          </w:tcPr>
          <w:p w:rsidR="00B7641E" w:rsidRPr="009F2BD1" w:rsidRDefault="00981AED" w:rsidP="009F2BD1">
            <w:pPr>
              <w:rPr>
                <w:b/>
                <w:color w:val="1F497D" w:themeColor="text2"/>
                <w:sz w:val="28"/>
                <w:szCs w:val="28"/>
              </w:rPr>
            </w:pPr>
            <w:r w:rsidRPr="009F2BD1">
              <w:rPr>
                <w:b/>
                <w:color w:val="1F497D" w:themeColor="text2"/>
                <w:sz w:val="28"/>
                <w:szCs w:val="28"/>
              </w:rPr>
              <w:t xml:space="preserve">SIM </w:t>
            </w:r>
            <w:r w:rsidR="00265F50">
              <w:rPr>
                <w:b/>
                <w:color w:val="1F497D" w:themeColor="text2"/>
                <w:sz w:val="28"/>
                <w:szCs w:val="28"/>
              </w:rPr>
              <w:t>Payment Reform Subcommittee</w:t>
            </w:r>
          </w:p>
          <w:p w:rsidR="00B7641E" w:rsidRPr="009F2BD1" w:rsidRDefault="00B7641E" w:rsidP="009F2BD1">
            <w:pPr>
              <w:rPr>
                <w:b/>
                <w:color w:val="1F497D" w:themeColor="text2"/>
                <w:sz w:val="10"/>
              </w:rPr>
            </w:pPr>
          </w:p>
          <w:p w:rsidR="00B7641E" w:rsidRPr="009F2BD1" w:rsidRDefault="00DA4F5E" w:rsidP="009F2BD1">
            <w:pPr>
              <w:rPr>
                <w:b/>
                <w:color w:val="1F497D" w:themeColor="text2"/>
              </w:rPr>
            </w:pPr>
            <w:r w:rsidRPr="009F2BD1">
              <w:rPr>
                <w:b/>
                <w:color w:val="1F497D" w:themeColor="text2"/>
              </w:rPr>
              <w:t>Date</w:t>
            </w:r>
            <w:r w:rsidR="001A7200" w:rsidRPr="009F2BD1">
              <w:rPr>
                <w:b/>
                <w:color w:val="1F497D" w:themeColor="text2"/>
              </w:rPr>
              <w:t xml:space="preserve">: </w:t>
            </w:r>
            <w:r w:rsidR="00265F50">
              <w:rPr>
                <w:b/>
                <w:color w:val="1F497D" w:themeColor="text2"/>
              </w:rPr>
              <w:t>December 10, 2013</w:t>
            </w:r>
          </w:p>
          <w:p w:rsidR="00B7641E" w:rsidRPr="009F2BD1" w:rsidRDefault="00DA4F5E" w:rsidP="009F2BD1">
            <w:pPr>
              <w:rPr>
                <w:b/>
                <w:color w:val="1F497D" w:themeColor="text2"/>
              </w:rPr>
            </w:pPr>
            <w:r w:rsidRPr="009F2BD1">
              <w:rPr>
                <w:b/>
                <w:color w:val="1F497D" w:themeColor="text2"/>
              </w:rPr>
              <w:t>Time</w:t>
            </w:r>
            <w:r w:rsidR="001A7200" w:rsidRPr="009F2BD1">
              <w:rPr>
                <w:b/>
                <w:color w:val="1F497D" w:themeColor="text2"/>
              </w:rPr>
              <w:t xml:space="preserve">: </w:t>
            </w:r>
            <w:r w:rsidR="00265F50">
              <w:rPr>
                <w:b/>
                <w:color w:val="1F497D" w:themeColor="text2"/>
              </w:rPr>
              <w:t>3:00p</w:t>
            </w:r>
            <w:r w:rsidR="001A7200" w:rsidRPr="009F2BD1">
              <w:rPr>
                <w:b/>
                <w:color w:val="1F497D" w:themeColor="text2"/>
              </w:rPr>
              <w:t>m-</w:t>
            </w:r>
            <w:r w:rsidR="00265F50">
              <w:rPr>
                <w:b/>
                <w:color w:val="1F497D" w:themeColor="text2"/>
              </w:rPr>
              <w:t>5</w:t>
            </w:r>
            <w:r w:rsidR="001A7200" w:rsidRPr="009F2BD1">
              <w:rPr>
                <w:b/>
                <w:color w:val="1F497D" w:themeColor="text2"/>
              </w:rPr>
              <w:t>:00pm</w:t>
            </w:r>
          </w:p>
          <w:p w:rsidR="00CB3767" w:rsidRPr="009F2BD1" w:rsidRDefault="00DA4F5E" w:rsidP="00265F50">
            <w:pPr>
              <w:rPr>
                <w:b/>
                <w:color w:val="548DD4" w:themeColor="text2" w:themeTint="99"/>
              </w:rPr>
            </w:pPr>
            <w:r w:rsidRPr="009F2BD1">
              <w:rPr>
                <w:b/>
                <w:color w:val="1F497D" w:themeColor="text2"/>
              </w:rPr>
              <w:t>Location</w:t>
            </w:r>
            <w:r w:rsidR="001A7200" w:rsidRPr="009F2BD1">
              <w:rPr>
                <w:b/>
                <w:color w:val="1F497D" w:themeColor="text2"/>
              </w:rPr>
              <w:t xml:space="preserve">: </w:t>
            </w:r>
            <w:r w:rsidR="00265F50">
              <w:rPr>
                <w:b/>
                <w:color w:val="1F497D" w:themeColor="text2"/>
              </w:rPr>
              <w:t>Gov. Hill Mansion, Augusta</w:t>
            </w:r>
          </w:p>
        </w:tc>
      </w:tr>
    </w:tbl>
    <w:p w:rsidR="00783336" w:rsidRPr="00F470EF" w:rsidRDefault="00783336" w:rsidP="00B57A9B">
      <w:pPr>
        <w:jc w:val="left"/>
        <w:rPr>
          <w:rFonts w:ascii="Arial" w:hAnsi="Arial" w:cs="Arial"/>
          <w:sz w:val="24"/>
          <w:szCs w:val="24"/>
        </w:rPr>
      </w:pPr>
    </w:p>
    <w:p w:rsidR="00E82E95" w:rsidRDefault="00E82E95" w:rsidP="00B57A9B">
      <w:pPr>
        <w:jc w:val="left"/>
        <w:rPr>
          <w:rFonts w:cstheme="minorHAnsi"/>
        </w:rPr>
      </w:pPr>
      <w:r>
        <w:rPr>
          <w:rFonts w:cstheme="minorHAnsi"/>
          <w:b/>
        </w:rPr>
        <w:t xml:space="preserve">Chair: </w:t>
      </w:r>
      <w:r w:rsidR="00265F50">
        <w:rPr>
          <w:rFonts w:cstheme="minorHAnsi"/>
        </w:rPr>
        <w:t xml:space="preserve">Frank Johnson, </w:t>
      </w:r>
      <w:hyperlink r:id="rId11" w:history="1">
        <w:r w:rsidR="00265F50" w:rsidRPr="00182314">
          <w:rPr>
            <w:rStyle w:val="Hyperlink"/>
            <w:rFonts w:cstheme="minorHAnsi"/>
          </w:rPr>
          <w:t>fjohnson@mehmc.org</w:t>
        </w:r>
      </w:hyperlink>
    </w:p>
    <w:p w:rsidR="00265F50" w:rsidRDefault="00265F50" w:rsidP="00B57A9B">
      <w:pPr>
        <w:jc w:val="left"/>
        <w:rPr>
          <w:rFonts w:cstheme="minorHAnsi"/>
        </w:rPr>
      </w:pPr>
    </w:p>
    <w:p w:rsidR="00265F50" w:rsidRPr="00265F50" w:rsidRDefault="00265F50" w:rsidP="00B57A9B">
      <w:pPr>
        <w:jc w:val="left"/>
        <w:rPr>
          <w:rFonts w:cstheme="minorHAnsi"/>
        </w:rPr>
      </w:pPr>
      <w:r>
        <w:rPr>
          <w:rFonts w:cstheme="minorHAnsi"/>
          <w:b/>
        </w:rPr>
        <w:t xml:space="preserve">Staff: </w:t>
      </w:r>
      <w:r>
        <w:rPr>
          <w:rFonts w:cstheme="minorHAnsi"/>
        </w:rPr>
        <w:t>Lyndsay Sanborn, Blake Hendrickson</w:t>
      </w:r>
    </w:p>
    <w:p w:rsidR="00E82E95" w:rsidRDefault="00E82E95" w:rsidP="00D90642">
      <w:pPr>
        <w:jc w:val="left"/>
        <w:rPr>
          <w:rFonts w:cstheme="minorHAnsi"/>
          <w:b/>
        </w:rPr>
      </w:pPr>
    </w:p>
    <w:p w:rsidR="00D90642" w:rsidRPr="00265F50" w:rsidRDefault="00E82E95" w:rsidP="00D90642">
      <w:pPr>
        <w:jc w:val="left"/>
        <w:rPr>
          <w:rFonts w:ascii="Arial" w:hAnsi="Arial" w:cs="Arial"/>
          <w:sz w:val="24"/>
          <w:szCs w:val="24"/>
          <w:u w:val="single"/>
        </w:rPr>
      </w:pPr>
      <w:r w:rsidRPr="00E95CFE">
        <w:rPr>
          <w:rFonts w:cstheme="minorHAnsi"/>
          <w:b/>
          <w:u w:val="single"/>
        </w:rPr>
        <w:t xml:space="preserve">Member </w:t>
      </w:r>
      <w:r w:rsidR="00CB3767" w:rsidRPr="00E95CFE">
        <w:rPr>
          <w:rFonts w:cstheme="minorHAnsi"/>
          <w:b/>
          <w:u w:val="single"/>
        </w:rPr>
        <w:t>Attendance</w:t>
      </w:r>
      <w:r w:rsidR="00CB3767" w:rsidRPr="00E95CFE">
        <w:rPr>
          <w:rFonts w:cstheme="minorHAnsi"/>
          <w:b/>
        </w:rPr>
        <w:t>:</w:t>
      </w:r>
      <w:r w:rsidRPr="00E95CFE">
        <w:rPr>
          <w:rFonts w:cstheme="minorHAnsi"/>
          <w:b/>
        </w:rPr>
        <w:t xml:space="preserve"> </w:t>
      </w:r>
      <w:r w:rsidR="00265F50">
        <w:rPr>
          <w:rFonts w:cstheme="minorHAnsi"/>
        </w:rPr>
        <w:t>Michelle</w:t>
      </w:r>
      <w:r w:rsidR="00A66157">
        <w:rPr>
          <w:rFonts w:cstheme="minorHAnsi"/>
        </w:rPr>
        <w:t xml:space="preserve">Probert, Joanne Rawlings-Sekunda, Mark Biscone, Chrissi Harding, Judiann Smith, Wanda Pelkey, Mark Still Tom Hopkins, Richelle Wallace, Ted Rooney, Ann Woloson, </w:t>
      </w:r>
      <w:r w:rsidR="00A66157" w:rsidRPr="00A66157">
        <w:rPr>
          <w:rFonts w:cstheme="minorHAnsi"/>
          <w:u w:val="single"/>
        </w:rPr>
        <w:t>Via Phone</w:t>
      </w:r>
      <w:r w:rsidR="00A66157">
        <w:rPr>
          <w:rFonts w:cstheme="minorHAnsi"/>
        </w:rPr>
        <w:t>: Christine Zukas, Dr. Bill Kassler, Jay Yoe, Dan Dyer, Pat Denning, Cheryl Rust, Lori Parham, Dr. Akindele Majakodunmi.</w:t>
      </w:r>
    </w:p>
    <w:p w:rsidR="00D243A2" w:rsidRDefault="00D243A2" w:rsidP="00B50A92">
      <w:pPr>
        <w:jc w:val="left"/>
        <w:rPr>
          <w:rFonts w:cstheme="minorHAnsi"/>
        </w:rPr>
      </w:pPr>
    </w:p>
    <w:p w:rsidR="00DA4F5E" w:rsidRDefault="00E82E95" w:rsidP="00B57A9B">
      <w:pPr>
        <w:jc w:val="left"/>
        <w:rPr>
          <w:rFonts w:cstheme="minorHAnsi"/>
        </w:rPr>
      </w:pPr>
      <w:r w:rsidRPr="00E95CFE">
        <w:rPr>
          <w:rFonts w:cstheme="minorHAnsi"/>
          <w:b/>
          <w:u w:val="single"/>
        </w:rPr>
        <w:t xml:space="preserve">Members </w:t>
      </w:r>
      <w:r w:rsidR="00E95CFE" w:rsidRPr="00E95CFE">
        <w:rPr>
          <w:rFonts w:cstheme="minorHAnsi"/>
          <w:b/>
          <w:u w:val="single"/>
        </w:rPr>
        <w:t>Absent</w:t>
      </w:r>
      <w:r w:rsidR="00E95CFE">
        <w:rPr>
          <w:rFonts w:cstheme="minorHAnsi"/>
          <w:b/>
        </w:rPr>
        <w:t>:</w:t>
      </w:r>
      <w:r w:rsidR="00A66157">
        <w:rPr>
          <w:rFonts w:cstheme="minorHAnsi"/>
          <w:b/>
        </w:rPr>
        <w:t xml:space="preserve"> </w:t>
      </w:r>
      <w:r w:rsidR="00A66157">
        <w:rPr>
          <w:rFonts w:cstheme="minorHAnsi"/>
        </w:rPr>
        <w:t>Dr. Jamie Kuhn (excused), Chris McCarthy (excused), Shaun Alfreds (excused), Fran Jensen, Jim Kane, Dr. Ned Claxton, Kevin Lewis.</w:t>
      </w:r>
    </w:p>
    <w:p w:rsidR="00A66157" w:rsidRDefault="00A66157" w:rsidP="00B57A9B">
      <w:pPr>
        <w:jc w:val="left"/>
        <w:rPr>
          <w:rFonts w:cstheme="minorHAnsi"/>
        </w:rPr>
      </w:pPr>
    </w:p>
    <w:p w:rsidR="00A66157" w:rsidRPr="00DC7866" w:rsidRDefault="00A66157" w:rsidP="00B57A9B">
      <w:pPr>
        <w:jc w:val="left"/>
        <w:rPr>
          <w:rFonts w:cstheme="minorHAnsi"/>
        </w:rPr>
        <w:sectPr w:rsidR="00A66157" w:rsidRPr="00DC7866" w:rsidSect="00BC2BC9">
          <w:headerReference w:type="default" r:id="rId12"/>
          <w:footerReference w:type="default" r:id="rId13"/>
          <w:pgSz w:w="15840" w:h="12240" w:orient="landscape"/>
          <w:pgMar w:top="432" w:right="432" w:bottom="432" w:left="432" w:header="720" w:footer="720" w:gutter="0"/>
          <w:cols w:space="720"/>
          <w:docGrid w:linePitch="360"/>
        </w:sectPr>
      </w:pPr>
      <w:r>
        <w:rPr>
          <w:rFonts w:cstheme="minorHAnsi"/>
          <w:b/>
          <w:u w:val="single"/>
        </w:rPr>
        <w:t xml:space="preserve">Interested Parties: </w:t>
      </w:r>
      <w:r>
        <w:rPr>
          <w:rFonts w:cstheme="minorHAnsi"/>
        </w:rPr>
        <w:t>David Winslow, Katie Fullam Harris, Brian Tuttle, Gordon Smith,</w:t>
      </w:r>
      <w:r w:rsidR="00F27B07">
        <w:rPr>
          <w:rFonts w:cstheme="minorHAnsi"/>
        </w:rPr>
        <w:t xml:space="preserve">Catherine Ryder, </w:t>
      </w:r>
      <w:r w:rsidR="00DC7866">
        <w:rPr>
          <w:rFonts w:cstheme="minorHAnsi"/>
        </w:rPr>
        <w:t xml:space="preserve"> </w:t>
      </w:r>
      <w:r w:rsidR="00DC7866" w:rsidRPr="00DC7866">
        <w:rPr>
          <w:rFonts w:cstheme="minorHAnsi"/>
          <w:u w:val="single"/>
        </w:rPr>
        <w:t>Via Phone</w:t>
      </w:r>
      <w:r w:rsidR="00DC7866">
        <w:rPr>
          <w:rFonts w:cstheme="minorHAnsi"/>
        </w:rPr>
        <w:t xml:space="preserve">: Bev Neugebauer, Bruce Wagner, Frank Bragg, Brandon Hotham, Kristen Brasslet, Mary Henderson, </w:t>
      </w:r>
      <w:r w:rsidR="00DC7866" w:rsidRPr="00DC7866">
        <w:rPr>
          <w:rFonts w:cstheme="minorHAnsi"/>
          <w:u w:val="single"/>
        </w:rPr>
        <w:t>Via Webinar:</w:t>
      </w:r>
      <w:r w:rsidR="00DC7866">
        <w:rPr>
          <w:rFonts w:cstheme="minorHAnsi"/>
        </w:rPr>
        <w:t xml:space="preserve"> Carrie Peterson, Cheryl Ciechomski, Kyra Chamberlain, Joanie Klayman, Kimberly Fox, Lindsey Smith, Dennis Shubert, Callie Carr, Renea Rice, Theresa Knowles, Donald Krause, Doug Libby, Katie Sendze, Kathy Lane, Cathy Mingo, Jennifer Maurice, Ruth Lyons, Betsey Shew, Jodi Beck, Rebecca Colwell, Tom Brewster, Doug Miller.  </w:t>
      </w: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DA4F5E" w:rsidRDefault="00A72713" w:rsidP="003B3A33">
      <w:pPr>
        <w:ind w:left="-990"/>
        <w:jc w:val="left"/>
      </w:pPr>
      <w:r w:rsidRPr="007B64B4">
        <w:rPr>
          <w:rFonts w:cs="Arial"/>
          <w:i/>
        </w:rPr>
        <w:lastRenderedPageBreak/>
        <w:t xml:space="preserve">Subcommittee </w:t>
      </w:r>
      <w:r w:rsidR="00AA1F9E" w:rsidRPr="007B64B4">
        <w:rPr>
          <w:rFonts w:cs="Arial"/>
          <w:i/>
        </w:rPr>
        <w:t>documents available at</w:t>
      </w:r>
      <w:r w:rsidR="00AA1F9E" w:rsidRPr="00E95CFE">
        <w:rPr>
          <w:rFonts w:cs="Arial"/>
          <w:b/>
        </w:rPr>
        <w:t xml:space="preserve">:  </w:t>
      </w:r>
      <w:hyperlink r:id="rId14" w:history="1">
        <w:r w:rsidR="00DC7866" w:rsidRPr="00182314">
          <w:rPr>
            <w:rStyle w:val="Hyperlink"/>
          </w:rPr>
          <w:t>http://www.maine.gov/dhhs/sim/committees/index.shtml</w:t>
        </w:r>
      </w:hyperlink>
      <w:r w:rsidR="00DC7866">
        <w:t xml:space="preserve">  </w:t>
      </w:r>
    </w:p>
    <w:p w:rsidR="002B6325" w:rsidRPr="00AA1F9E" w:rsidRDefault="002B6325" w:rsidP="00B55426">
      <w:pPr>
        <w:jc w:val="left"/>
        <w:rPr>
          <w:rFonts w:ascii="Arial" w:hAnsi="Arial" w:cs="Arial"/>
          <w:b/>
          <w:sz w:val="24"/>
          <w:szCs w:val="24"/>
        </w:rPr>
      </w:pPr>
    </w:p>
    <w:tbl>
      <w:tblPr>
        <w:tblStyle w:val="TableGrid"/>
        <w:tblW w:w="14262" w:type="dxa"/>
        <w:tblInd w:w="-792" w:type="dxa"/>
        <w:tblLayout w:type="fixed"/>
        <w:tblLook w:val="04A0" w:firstRow="1" w:lastRow="0" w:firstColumn="1" w:lastColumn="0" w:noHBand="0" w:noVBand="1"/>
      </w:tblPr>
      <w:tblGrid>
        <w:gridCol w:w="2340"/>
        <w:gridCol w:w="9180"/>
        <w:gridCol w:w="2742"/>
      </w:tblGrid>
      <w:tr w:rsidR="008A4F39" w:rsidRPr="00990D1F" w:rsidTr="00781B68">
        <w:trPr>
          <w:tblHeader/>
        </w:trPr>
        <w:tc>
          <w:tcPr>
            <w:tcW w:w="2340" w:type="dxa"/>
            <w:shd w:val="clear" w:color="auto" w:fill="1F497D" w:themeFill="text2"/>
          </w:tcPr>
          <w:p w:rsidR="008A4F39" w:rsidRPr="00990D1F" w:rsidRDefault="007D09BB" w:rsidP="00B57A9B">
            <w:pPr>
              <w:jc w:val="left"/>
              <w:rPr>
                <w:rFonts w:cstheme="minorHAnsi"/>
                <w:b/>
                <w:color w:val="FFFFFF" w:themeColor="background1"/>
              </w:rPr>
            </w:pPr>
            <w:r>
              <w:rPr>
                <w:rFonts w:cstheme="minorHAnsi"/>
                <w:b/>
                <w:color w:val="FFFFFF" w:themeColor="background1"/>
              </w:rPr>
              <w:t>Risk Item Identified</w:t>
            </w:r>
          </w:p>
        </w:tc>
        <w:tc>
          <w:tcPr>
            <w:tcW w:w="9180" w:type="dxa"/>
            <w:shd w:val="clear" w:color="auto" w:fill="1F497D" w:themeFill="text2"/>
          </w:tcPr>
          <w:p w:rsidR="008A4F39" w:rsidRPr="00990D1F" w:rsidRDefault="007D09BB" w:rsidP="00982C25">
            <w:pPr>
              <w:jc w:val="left"/>
              <w:rPr>
                <w:rFonts w:cstheme="minorHAnsi"/>
                <w:b/>
                <w:color w:val="FFFFFF" w:themeColor="background1"/>
              </w:rPr>
            </w:pPr>
            <w:r>
              <w:rPr>
                <w:rFonts w:cstheme="minorHAnsi"/>
                <w:b/>
                <w:color w:val="FFFFFF" w:themeColor="background1"/>
              </w:rPr>
              <w:t>Follow up for risk</w:t>
            </w:r>
          </w:p>
        </w:tc>
        <w:tc>
          <w:tcPr>
            <w:tcW w:w="2742" w:type="dxa"/>
            <w:shd w:val="clear" w:color="auto" w:fill="1F497D" w:themeFill="text2"/>
          </w:tcPr>
          <w:p w:rsidR="008A4F39" w:rsidRPr="00990D1F" w:rsidRDefault="007D09BB" w:rsidP="00B57A9B">
            <w:pPr>
              <w:jc w:val="left"/>
              <w:rPr>
                <w:rFonts w:cstheme="minorHAnsi"/>
                <w:b/>
                <w:color w:val="FFFFFF" w:themeColor="background1"/>
              </w:rPr>
            </w:pPr>
            <w:r>
              <w:rPr>
                <w:rFonts w:cstheme="minorHAnsi"/>
                <w:b/>
                <w:color w:val="FFFFFF" w:themeColor="background1"/>
              </w:rPr>
              <w:t>Escalate to Steering (y/n)</w:t>
            </w:r>
          </w:p>
        </w:tc>
      </w:tr>
      <w:tr w:rsidR="008A4F39" w:rsidRPr="00990D1F" w:rsidTr="006A0577">
        <w:tc>
          <w:tcPr>
            <w:tcW w:w="2340" w:type="dxa"/>
          </w:tcPr>
          <w:p w:rsidR="008A4F39" w:rsidRDefault="007D09BB" w:rsidP="006A0577">
            <w:pPr>
              <w:jc w:val="left"/>
              <w:rPr>
                <w:rFonts w:cstheme="minorHAnsi"/>
                <w:b/>
              </w:rPr>
            </w:pPr>
            <w:r>
              <w:rPr>
                <w:rFonts w:cstheme="minorHAnsi"/>
                <w:b/>
              </w:rPr>
              <w:t>None</w:t>
            </w:r>
          </w:p>
        </w:tc>
        <w:tc>
          <w:tcPr>
            <w:tcW w:w="9180" w:type="dxa"/>
          </w:tcPr>
          <w:p w:rsidR="008A4F39" w:rsidRPr="00F30306" w:rsidRDefault="007D09BB" w:rsidP="006A0577">
            <w:pPr>
              <w:jc w:val="left"/>
              <w:rPr>
                <w:rFonts w:cstheme="minorHAnsi"/>
              </w:rPr>
            </w:pPr>
            <w:r>
              <w:rPr>
                <w:rFonts w:cstheme="minorHAnsi"/>
              </w:rPr>
              <w:t>n/a</w:t>
            </w:r>
          </w:p>
        </w:tc>
        <w:tc>
          <w:tcPr>
            <w:tcW w:w="2742" w:type="dxa"/>
          </w:tcPr>
          <w:p w:rsidR="008A4F39" w:rsidRPr="00990D1F" w:rsidRDefault="007D09BB" w:rsidP="006A0577">
            <w:pPr>
              <w:jc w:val="left"/>
              <w:rPr>
                <w:rFonts w:cstheme="minorHAnsi"/>
              </w:rPr>
            </w:pPr>
            <w:r>
              <w:rPr>
                <w:rFonts w:cstheme="minorHAnsi"/>
              </w:rPr>
              <w:t>n/a</w:t>
            </w:r>
          </w:p>
        </w:tc>
      </w:tr>
      <w:tr w:rsidR="008A4F39" w:rsidRPr="00990D1F" w:rsidTr="006A0577">
        <w:tc>
          <w:tcPr>
            <w:tcW w:w="2340" w:type="dxa"/>
          </w:tcPr>
          <w:p w:rsidR="008A4F39" w:rsidRDefault="008A4F39" w:rsidP="006A0577">
            <w:pPr>
              <w:jc w:val="left"/>
              <w:rPr>
                <w:rFonts w:cstheme="minorHAnsi"/>
                <w:b/>
              </w:rPr>
            </w:pPr>
          </w:p>
        </w:tc>
        <w:tc>
          <w:tcPr>
            <w:tcW w:w="9180" w:type="dxa"/>
          </w:tcPr>
          <w:p w:rsidR="008A4F39" w:rsidRPr="00F30306" w:rsidRDefault="008A4F39" w:rsidP="006A0577">
            <w:pPr>
              <w:jc w:val="left"/>
              <w:rPr>
                <w:rFonts w:cstheme="minorHAnsi"/>
              </w:rPr>
            </w:pPr>
          </w:p>
        </w:tc>
        <w:tc>
          <w:tcPr>
            <w:tcW w:w="2742" w:type="dxa"/>
          </w:tcPr>
          <w:p w:rsidR="008A4F39" w:rsidRPr="00990D1F" w:rsidRDefault="008A4F39" w:rsidP="006A0577">
            <w:pPr>
              <w:jc w:val="left"/>
              <w:rPr>
                <w:rFonts w:cstheme="minorHAnsi"/>
              </w:rPr>
            </w:pPr>
          </w:p>
        </w:tc>
      </w:tr>
      <w:tr w:rsidR="008A4F39" w:rsidRPr="00990D1F" w:rsidTr="00781B68">
        <w:trPr>
          <w:tblHeader/>
        </w:trPr>
        <w:tc>
          <w:tcPr>
            <w:tcW w:w="2340" w:type="dxa"/>
            <w:shd w:val="clear" w:color="auto" w:fill="1F497D" w:themeFill="text2"/>
          </w:tcPr>
          <w:p w:rsidR="008A4F39" w:rsidRPr="00990D1F" w:rsidRDefault="008A4F39" w:rsidP="00B57A9B">
            <w:pPr>
              <w:jc w:val="left"/>
              <w:rPr>
                <w:rFonts w:cstheme="minorHAnsi"/>
                <w:b/>
                <w:color w:val="FFFFFF" w:themeColor="background1"/>
              </w:rPr>
            </w:pPr>
            <w:r w:rsidRPr="00990D1F">
              <w:rPr>
                <w:rFonts w:cstheme="minorHAnsi"/>
                <w:b/>
                <w:color w:val="FFFFFF" w:themeColor="background1"/>
              </w:rPr>
              <w:t>Agenda</w:t>
            </w:r>
            <w:r>
              <w:rPr>
                <w:rFonts w:cstheme="minorHAnsi"/>
                <w:b/>
                <w:color w:val="FFFFFF" w:themeColor="background1"/>
              </w:rPr>
              <w:t xml:space="preserve"> Item</w:t>
            </w:r>
          </w:p>
        </w:tc>
        <w:tc>
          <w:tcPr>
            <w:tcW w:w="9180" w:type="dxa"/>
            <w:shd w:val="clear" w:color="auto" w:fill="1F497D" w:themeFill="text2"/>
          </w:tcPr>
          <w:p w:rsidR="008A4F39" w:rsidRPr="00990D1F" w:rsidRDefault="008A4F39" w:rsidP="00D00D15">
            <w:pPr>
              <w:jc w:val="left"/>
              <w:rPr>
                <w:rFonts w:cstheme="minorHAnsi"/>
                <w:b/>
                <w:color w:val="FFFFFF" w:themeColor="background1"/>
              </w:rPr>
            </w:pPr>
            <w:r w:rsidRPr="00990D1F">
              <w:rPr>
                <w:rFonts w:cstheme="minorHAnsi"/>
                <w:b/>
                <w:color w:val="FFFFFF" w:themeColor="background1"/>
              </w:rPr>
              <w:t>Discussion</w:t>
            </w:r>
            <w:r>
              <w:rPr>
                <w:rFonts w:cstheme="minorHAnsi"/>
                <w:b/>
                <w:color w:val="FFFFFF" w:themeColor="background1"/>
              </w:rPr>
              <w:t xml:space="preserve"> Points and </w:t>
            </w:r>
            <w:r w:rsidRPr="00990D1F">
              <w:rPr>
                <w:rFonts w:cstheme="minorHAnsi"/>
                <w:b/>
                <w:color w:val="FFFFFF" w:themeColor="background1"/>
              </w:rPr>
              <w:t>Decisions</w:t>
            </w:r>
          </w:p>
        </w:tc>
        <w:tc>
          <w:tcPr>
            <w:tcW w:w="2742" w:type="dxa"/>
            <w:shd w:val="clear" w:color="auto" w:fill="1F497D" w:themeFill="text2"/>
          </w:tcPr>
          <w:p w:rsidR="008A4F39" w:rsidRPr="00990D1F" w:rsidRDefault="008A4F39" w:rsidP="00B57A9B">
            <w:pPr>
              <w:jc w:val="left"/>
              <w:rPr>
                <w:rFonts w:cstheme="minorHAnsi"/>
                <w:b/>
                <w:color w:val="FFFFFF" w:themeColor="background1"/>
              </w:rPr>
            </w:pPr>
            <w:r>
              <w:rPr>
                <w:rFonts w:cstheme="minorHAnsi"/>
                <w:b/>
                <w:color w:val="FFFFFF" w:themeColor="background1"/>
              </w:rPr>
              <w:t>Action Items</w:t>
            </w:r>
          </w:p>
        </w:tc>
      </w:tr>
      <w:tr w:rsidR="008A4F39" w:rsidRPr="00990D1F" w:rsidTr="00781B68">
        <w:tc>
          <w:tcPr>
            <w:tcW w:w="2340" w:type="dxa"/>
          </w:tcPr>
          <w:p w:rsidR="008A4F39" w:rsidRDefault="008A4F39" w:rsidP="00F30306">
            <w:pPr>
              <w:jc w:val="left"/>
              <w:rPr>
                <w:rFonts w:cstheme="minorHAnsi"/>
                <w:b/>
              </w:rPr>
            </w:pPr>
            <w:r>
              <w:rPr>
                <w:rFonts w:cstheme="minorHAnsi"/>
                <w:b/>
              </w:rPr>
              <w:t>Webinar: Developing an ACO Measure Set for Maine</w:t>
            </w:r>
          </w:p>
          <w:p w:rsidR="008A4F39" w:rsidRDefault="008A4F39" w:rsidP="00F30306">
            <w:pPr>
              <w:jc w:val="left"/>
              <w:rPr>
                <w:rFonts w:cstheme="minorHAnsi"/>
                <w:b/>
              </w:rPr>
            </w:pPr>
          </w:p>
          <w:p w:rsidR="008A4F39" w:rsidRDefault="008A4F39" w:rsidP="00F30306">
            <w:pPr>
              <w:jc w:val="left"/>
              <w:rPr>
                <w:rFonts w:cstheme="minorHAnsi"/>
                <w:b/>
              </w:rPr>
            </w:pPr>
          </w:p>
        </w:tc>
        <w:tc>
          <w:tcPr>
            <w:tcW w:w="9180" w:type="dxa"/>
          </w:tcPr>
          <w:p w:rsidR="008A4F39" w:rsidRDefault="008A4F39" w:rsidP="008A4F39">
            <w:pPr>
              <w:jc w:val="left"/>
              <w:rPr>
                <w:rFonts w:cstheme="minorHAnsi"/>
              </w:rPr>
            </w:pPr>
            <w:r>
              <w:rPr>
                <w:rFonts w:cstheme="minorHAnsi"/>
              </w:rPr>
              <w:t xml:space="preserve">Michael Bailit of Bailit Health provided a presentation on measure set development in the context of ACO/system performance. Mr. Bailit outlined the national measure landscape and concluded that there is very little alignment. Mr. Bailit’s experience with the Colorado Medicaid, Oregon Medicaid, AF4Q South Central Pennsylvania multi-payer and Vermont multi-payer processes provided insight into different approaches. Mr. Bailit presented his findings on the key policy decisions around intended use of measures, standardized vs. “transformative” measures, data sources, accessing clinical data/outcomes, and the distinction between areas of interest vs. opportunities. Mr. Bailit also proposed a series of next steps for the Maine initiative to include identifying an inventory of current measures, determining stakeholders, establishing a timeline, defining goals/objectives of measure set(s), and identifying criteria to review measures for selection. </w:t>
            </w:r>
          </w:p>
        </w:tc>
        <w:tc>
          <w:tcPr>
            <w:tcW w:w="2742" w:type="dxa"/>
          </w:tcPr>
          <w:p w:rsidR="008A4F39" w:rsidRPr="00990D1F" w:rsidRDefault="008A4F39" w:rsidP="00B57A9B">
            <w:pPr>
              <w:jc w:val="left"/>
              <w:rPr>
                <w:rFonts w:cstheme="minorHAnsi"/>
              </w:rPr>
            </w:pPr>
            <w:r>
              <w:rPr>
                <w:rFonts w:cstheme="minorHAnsi"/>
              </w:rPr>
              <w:t>Ongoing</w:t>
            </w:r>
          </w:p>
        </w:tc>
      </w:tr>
      <w:tr w:rsidR="008A4F39" w:rsidRPr="00990D1F" w:rsidTr="00781B68">
        <w:tc>
          <w:tcPr>
            <w:tcW w:w="2340" w:type="dxa"/>
          </w:tcPr>
          <w:p w:rsidR="008A4F39" w:rsidRDefault="008A4F39" w:rsidP="00DA4F5E">
            <w:pPr>
              <w:jc w:val="left"/>
              <w:rPr>
                <w:rFonts w:cstheme="minorHAnsi"/>
                <w:b/>
              </w:rPr>
            </w:pPr>
            <w:r>
              <w:rPr>
                <w:rFonts w:cstheme="minorHAnsi"/>
                <w:b/>
              </w:rPr>
              <w:t xml:space="preserve">2014 Meeting </w:t>
            </w:r>
            <w:r>
              <w:rPr>
                <w:rFonts w:cstheme="minorHAnsi"/>
                <w:b/>
              </w:rPr>
              <w:lastRenderedPageBreak/>
              <w:t>Schedule</w:t>
            </w:r>
          </w:p>
          <w:p w:rsidR="008A4F39" w:rsidRDefault="008A4F39" w:rsidP="00DA4F5E">
            <w:pPr>
              <w:jc w:val="left"/>
              <w:rPr>
                <w:rFonts w:cstheme="minorHAnsi"/>
                <w:b/>
              </w:rPr>
            </w:pPr>
          </w:p>
          <w:p w:rsidR="008A4F39" w:rsidRPr="003C1F65" w:rsidRDefault="008A4F39" w:rsidP="00DA4F5E">
            <w:pPr>
              <w:jc w:val="left"/>
              <w:rPr>
                <w:rFonts w:cstheme="minorHAnsi"/>
                <w:b/>
              </w:rPr>
            </w:pPr>
          </w:p>
        </w:tc>
        <w:tc>
          <w:tcPr>
            <w:tcW w:w="9180" w:type="dxa"/>
          </w:tcPr>
          <w:p w:rsidR="008A4F39" w:rsidRPr="002D664C" w:rsidRDefault="008A4F39" w:rsidP="00DA4F5E">
            <w:pPr>
              <w:jc w:val="left"/>
              <w:rPr>
                <w:rFonts w:cstheme="minorHAnsi"/>
              </w:rPr>
            </w:pPr>
            <w:r>
              <w:rPr>
                <w:rFonts w:cstheme="minorHAnsi"/>
              </w:rPr>
              <w:lastRenderedPageBreak/>
              <w:t xml:space="preserve">The subcommittee agreed to a bi-monthly schedule with meetings scheduled in the even-numbered </w:t>
            </w:r>
            <w:r>
              <w:rPr>
                <w:rFonts w:cstheme="minorHAnsi"/>
              </w:rPr>
              <w:lastRenderedPageBreak/>
              <w:t>months alternating with the ACI steering committee meetings that will conducted in the odd-numbered months.</w:t>
            </w:r>
          </w:p>
        </w:tc>
        <w:tc>
          <w:tcPr>
            <w:tcW w:w="2742" w:type="dxa"/>
          </w:tcPr>
          <w:p w:rsidR="008A4F39" w:rsidRPr="00990D1F" w:rsidRDefault="007D09BB" w:rsidP="00B57A9B">
            <w:pPr>
              <w:jc w:val="left"/>
              <w:rPr>
                <w:rFonts w:cstheme="minorHAnsi"/>
              </w:rPr>
            </w:pPr>
            <w:r>
              <w:rPr>
                <w:rFonts w:cstheme="minorHAnsi"/>
              </w:rPr>
              <w:lastRenderedPageBreak/>
              <w:t>None</w:t>
            </w:r>
          </w:p>
        </w:tc>
      </w:tr>
      <w:tr w:rsidR="008A4F39" w:rsidRPr="00990D1F" w:rsidTr="004F0AC7">
        <w:trPr>
          <w:trHeight w:val="872"/>
        </w:trPr>
        <w:tc>
          <w:tcPr>
            <w:tcW w:w="2340" w:type="dxa"/>
          </w:tcPr>
          <w:p w:rsidR="008A4F39" w:rsidRDefault="008A4F39" w:rsidP="00DA4F5E">
            <w:pPr>
              <w:jc w:val="left"/>
              <w:rPr>
                <w:rFonts w:cstheme="minorHAnsi"/>
                <w:b/>
              </w:rPr>
            </w:pPr>
          </w:p>
          <w:p w:rsidR="008A4F39" w:rsidRDefault="008A4F39" w:rsidP="00DA4F5E">
            <w:pPr>
              <w:jc w:val="left"/>
              <w:rPr>
                <w:rFonts w:cstheme="minorHAnsi"/>
                <w:b/>
              </w:rPr>
            </w:pPr>
          </w:p>
          <w:p w:rsidR="008A4F39" w:rsidRDefault="008A4F39" w:rsidP="00DA4F5E">
            <w:pPr>
              <w:jc w:val="left"/>
              <w:rPr>
                <w:rFonts w:cstheme="minorHAnsi"/>
                <w:b/>
              </w:rPr>
            </w:pPr>
          </w:p>
        </w:tc>
        <w:tc>
          <w:tcPr>
            <w:tcW w:w="9180" w:type="dxa"/>
          </w:tcPr>
          <w:p w:rsidR="008A4F39" w:rsidRPr="00F30306" w:rsidRDefault="008A4F39" w:rsidP="00DA4F5E">
            <w:pPr>
              <w:jc w:val="left"/>
              <w:rPr>
                <w:rFonts w:cstheme="minorHAnsi"/>
              </w:rPr>
            </w:pPr>
          </w:p>
        </w:tc>
        <w:tc>
          <w:tcPr>
            <w:tcW w:w="2742" w:type="dxa"/>
          </w:tcPr>
          <w:p w:rsidR="008A4F39" w:rsidRPr="00990D1F" w:rsidRDefault="008A4F39" w:rsidP="00574A36">
            <w:pPr>
              <w:jc w:val="left"/>
              <w:rPr>
                <w:rFonts w:cstheme="minorHAnsi"/>
              </w:rPr>
            </w:pPr>
          </w:p>
        </w:tc>
      </w:tr>
      <w:tr w:rsidR="008A4F39" w:rsidRPr="00990D1F" w:rsidTr="00781B68">
        <w:tc>
          <w:tcPr>
            <w:tcW w:w="2340" w:type="dxa"/>
          </w:tcPr>
          <w:p w:rsidR="008A4F39" w:rsidRDefault="008A4F39" w:rsidP="00DA4F5E">
            <w:pPr>
              <w:jc w:val="left"/>
              <w:rPr>
                <w:rFonts w:cstheme="minorHAnsi"/>
                <w:b/>
              </w:rPr>
            </w:pPr>
          </w:p>
          <w:p w:rsidR="008A4F39" w:rsidRDefault="008A4F39" w:rsidP="00DA4F5E">
            <w:pPr>
              <w:jc w:val="left"/>
              <w:rPr>
                <w:rFonts w:cstheme="minorHAnsi"/>
                <w:b/>
              </w:rPr>
            </w:pPr>
          </w:p>
          <w:p w:rsidR="008A4F39" w:rsidRPr="00AC0CE5" w:rsidRDefault="008A4F39" w:rsidP="00DA4F5E">
            <w:pPr>
              <w:jc w:val="left"/>
              <w:rPr>
                <w:rFonts w:cstheme="minorHAnsi"/>
                <w:b/>
              </w:rPr>
            </w:pPr>
          </w:p>
        </w:tc>
        <w:tc>
          <w:tcPr>
            <w:tcW w:w="9180" w:type="dxa"/>
          </w:tcPr>
          <w:p w:rsidR="008A4F39" w:rsidRPr="00F30306" w:rsidRDefault="008A4F39" w:rsidP="00DA4F5E">
            <w:pPr>
              <w:jc w:val="left"/>
              <w:rPr>
                <w:rFonts w:cstheme="minorHAnsi"/>
              </w:rPr>
            </w:pPr>
          </w:p>
        </w:tc>
        <w:tc>
          <w:tcPr>
            <w:tcW w:w="2742" w:type="dxa"/>
          </w:tcPr>
          <w:p w:rsidR="008A4F39" w:rsidRPr="00990D1F" w:rsidRDefault="008A4F39" w:rsidP="00574A36">
            <w:pPr>
              <w:jc w:val="left"/>
              <w:rPr>
                <w:rFonts w:cstheme="minorHAnsi"/>
              </w:rPr>
            </w:pPr>
          </w:p>
        </w:tc>
      </w:tr>
    </w:tbl>
    <w:p w:rsidR="00CB3767" w:rsidRPr="00F470EF" w:rsidRDefault="00CB3767" w:rsidP="00B57A9B">
      <w:pPr>
        <w:jc w:val="left"/>
        <w:rPr>
          <w:rFonts w:ascii="Arial" w:hAnsi="Arial" w:cs="Arial"/>
          <w:sz w:val="24"/>
          <w:szCs w:val="24"/>
        </w:rPr>
      </w:pPr>
    </w:p>
    <w:sectPr w:rsidR="00CB3767"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8B8" w:rsidRDefault="003A18B8" w:rsidP="005261E9">
      <w:r>
        <w:separator/>
      </w:r>
    </w:p>
  </w:endnote>
  <w:endnote w:type="continuationSeparator" w:id="0">
    <w:p w:rsidR="003A18B8" w:rsidRDefault="003A18B8"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4848EA">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4848EA">
      <w:rPr>
        <w:noProof/>
        <w:color w:val="808080" w:themeColor="background1" w:themeShade="80"/>
        <w:sz w:val="20"/>
        <w:szCs w:val="20"/>
      </w:rPr>
      <w:t>2</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8B8" w:rsidRDefault="003A18B8" w:rsidP="005261E9">
      <w:r>
        <w:separator/>
      </w:r>
    </w:p>
  </w:footnote>
  <w:footnote w:type="continuationSeparator" w:id="0">
    <w:p w:rsidR="003A18B8" w:rsidRDefault="003A18B8"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Default="00772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0"/>
  </w:num>
  <w:num w:numId="4">
    <w:abstractNumId w:val="9"/>
  </w:num>
  <w:num w:numId="5">
    <w:abstractNumId w:val="11"/>
  </w:num>
  <w:num w:numId="6">
    <w:abstractNumId w:val="19"/>
  </w:num>
  <w:num w:numId="7">
    <w:abstractNumId w:val="12"/>
  </w:num>
  <w:num w:numId="8">
    <w:abstractNumId w:val="17"/>
  </w:num>
  <w:num w:numId="9">
    <w:abstractNumId w:val="3"/>
  </w:num>
  <w:num w:numId="10">
    <w:abstractNumId w:val="20"/>
  </w:num>
  <w:num w:numId="11">
    <w:abstractNumId w:val="14"/>
  </w:num>
  <w:num w:numId="12">
    <w:abstractNumId w:val="8"/>
  </w:num>
  <w:num w:numId="13">
    <w:abstractNumId w:val="22"/>
  </w:num>
  <w:num w:numId="14">
    <w:abstractNumId w:val="1"/>
  </w:num>
  <w:num w:numId="15">
    <w:abstractNumId w:val="21"/>
  </w:num>
  <w:num w:numId="16">
    <w:abstractNumId w:val="5"/>
  </w:num>
  <w:num w:numId="17">
    <w:abstractNumId w:val="16"/>
  </w:num>
  <w:num w:numId="18">
    <w:abstractNumId w:val="13"/>
  </w:num>
  <w:num w:numId="19">
    <w:abstractNumId w:val="18"/>
  </w:num>
  <w:num w:numId="20">
    <w:abstractNumId w:val="6"/>
  </w:num>
  <w:num w:numId="21">
    <w:abstractNumId w:val="23"/>
  </w:num>
  <w:num w:numId="22">
    <w:abstractNumId w:val="7"/>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13ED5"/>
    <w:rsid w:val="00015141"/>
    <w:rsid w:val="00030B11"/>
    <w:rsid w:val="00031E57"/>
    <w:rsid w:val="00043725"/>
    <w:rsid w:val="0006146F"/>
    <w:rsid w:val="00067324"/>
    <w:rsid w:val="000729CB"/>
    <w:rsid w:val="00073F46"/>
    <w:rsid w:val="00081AD2"/>
    <w:rsid w:val="00086535"/>
    <w:rsid w:val="00093C04"/>
    <w:rsid w:val="000A664A"/>
    <w:rsid w:val="000B0295"/>
    <w:rsid w:val="000E575F"/>
    <w:rsid w:val="000E5AAE"/>
    <w:rsid w:val="000E5CCF"/>
    <w:rsid w:val="000F7F57"/>
    <w:rsid w:val="001054A5"/>
    <w:rsid w:val="0011168C"/>
    <w:rsid w:val="00117EF9"/>
    <w:rsid w:val="00127E97"/>
    <w:rsid w:val="00135F5E"/>
    <w:rsid w:val="001369B2"/>
    <w:rsid w:val="0014045E"/>
    <w:rsid w:val="001450BB"/>
    <w:rsid w:val="00146FBA"/>
    <w:rsid w:val="00161C2B"/>
    <w:rsid w:val="00164916"/>
    <w:rsid w:val="001828B7"/>
    <w:rsid w:val="001A7200"/>
    <w:rsid w:val="001A7E5D"/>
    <w:rsid w:val="001B17DC"/>
    <w:rsid w:val="001C2239"/>
    <w:rsid w:val="001D6946"/>
    <w:rsid w:val="001F6FB4"/>
    <w:rsid w:val="00207B55"/>
    <w:rsid w:val="00217E69"/>
    <w:rsid w:val="0022745E"/>
    <w:rsid w:val="00237CB3"/>
    <w:rsid w:val="0024309F"/>
    <w:rsid w:val="00257AF3"/>
    <w:rsid w:val="00265F50"/>
    <w:rsid w:val="00273B77"/>
    <w:rsid w:val="002748B1"/>
    <w:rsid w:val="00282E0A"/>
    <w:rsid w:val="00283021"/>
    <w:rsid w:val="00286629"/>
    <w:rsid w:val="002924EB"/>
    <w:rsid w:val="002B6325"/>
    <w:rsid w:val="002B70BD"/>
    <w:rsid w:val="002C2DD3"/>
    <w:rsid w:val="002C7742"/>
    <w:rsid w:val="002D664C"/>
    <w:rsid w:val="002E4357"/>
    <w:rsid w:val="002E45B1"/>
    <w:rsid w:val="00302696"/>
    <w:rsid w:val="003128FE"/>
    <w:rsid w:val="00324CF3"/>
    <w:rsid w:val="0032502E"/>
    <w:rsid w:val="0033176A"/>
    <w:rsid w:val="0035442F"/>
    <w:rsid w:val="00362684"/>
    <w:rsid w:val="0036506D"/>
    <w:rsid w:val="00373A02"/>
    <w:rsid w:val="00377C6E"/>
    <w:rsid w:val="003A18B8"/>
    <w:rsid w:val="003B3A33"/>
    <w:rsid w:val="003C1F65"/>
    <w:rsid w:val="003C3747"/>
    <w:rsid w:val="003E2AC7"/>
    <w:rsid w:val="003F0DC9"/>
    <w:rsid w:val="00405196"/>
    <w:rsid w:val="00420ED3"/>
    <w:rsid w:val="004279FF"/>
    <w:rsid w:val="0043502A"/>
    <w:rsid w:val="00456CF4"/>
    <w:rsid w:val="0046623E"/>
    <w:rsid w:val="004848EA"/>
    <w:rsid w:val="00485155"/>
    <w:rsid w:val="00496871"/>
    <w:rsid w:val="004A6BC9"/>
    <w:rsid w:val="004B5276"/>
    <w:rsid w:val="004D0A28"/>
    <w:rsid w:val="004F0AC7"/>
    <w:rsid w:val="004F505A"/>
    <w:rsid w:val="00512BE1"/>
    <w:rsid w:val="005171A9"/>
    <w:rsid w:val="005261E9"/>
    <w:rsid w:val="0052760A"/>
    <w:rsid w:val="00532B24"/>
    <w:rsid w:val="00541C44"/>
    <w:rsid w:val="005533A8"/>
    <w:rsid w:val="005568EC"/>
    <w:rsid w:val="00564B5C"/>
    <w:rsid w:val="00566A38"/>
    <w:rsid w:val="00572012"/>
    <w:rsid w:val="00574A36"/>
    <w:rsid w:val="00591948"/>
    <w:rsid w:val="005930A0"/>
    <w:rsid w:val="005972F3"/>
    <w:rsid w:val="005A20A4"/>
    <w:rsid w:val="005A4406"/>
    <w:rsid w:val="005C03E8"/>
    <w:rsid w:val="005C2BA9"/>
    <w:rsid w:val="005C6CC2"/>
    <w:rsid w:val="005C6D82"/>
    <w:rsid w:val="005F379B"/>
    <w:rsid w:val="005F5668"/>
    <w:rsid w:val="005F674F"/>
    <w:rsid w:val="00600A39"/>
    <w:rsid w:val="00604980"/>
    <w:rsid w:val="00605991"/>
    <w:rsid w:val="00605B60"/>
    <w:rsid w:val="006444D7"/>
    <w:rsid w:val="00667AC1"/>
    <w:rsid w:val="00671C49"/>
    <w:rsid w:val="006813C4"/>
    <w:rsid w:val="00683928"/>
    <w:rsid w:val="006855F8"/>
    <w:rsid w:val="0069587D"/>
    <w:rsid w:val="006A16B8"/>
    <w:rsid w:val="006A1F1F"/>
    <w:rsid w:val="006B3862"/>
    <w:rsid w:val="006C6BC9"/>
    <w:rsid w:val="006E689F"/>
    <w:rsid w:val="006F15FF"/>
    <w:rsid w:val="006F3934"/>
    <w:rsid w:val="006F796C"/>
    <w:rsid w:val="0070192A"/>
    <w:rsid w:val="00705406"/>
    <w:rsid w:val="00724F63"/>
    <w:rsid w:val="00725F68"/>
    <w:rsid w:val="00731F5C"/>
    <w:rsid w:val="00735D33"/>
    <w:rsid w:val="00736B94"/>
    <w:rsid w:val="0073775A"/>
    <w:rsid w:val="0077220B"/>
    <w:rsid w:val="00772268"/>
    <w:rsid w:val="00781B68"/>
    <w:rsid w:val="00783336"/>
    <w:rsid w:val="00796FBD"/>
    <w:rsid w:val="007B5B0F"/>
    <w:rsid w:val="007B64B4"/>
    <w:rsid w:val="007C77E2"/>
    <w:rsid w:val="007D09BB"/>
    <w:rsid w:val="007D36C7"/>
    <w:rsid w:val="007E4388"/>
    <w:rsid w:val="008145DB"/>
    <w:rsid w:val="008218F2"/>
    <w:rsid w:val="008623EC"/>
    <w:rsid w:val="00891C68"/>
    <w:rsid w:val="008A4F39"/>
    <w:rsid w:val="008B0882"/>
    <w:rsid w:val="008B1CD7"/>
    <w:rsid w:val="008B4134"/>
    <w:rsid w:val="008E0FE6"/>
    <w:rsid w:val="008F74F2"/>
    <w:rsid w:val="009322EB"/>
    <w:rsid w:val="009344D1"/>
    <w:rsid w:val="00942E2B"/>
    <w:rsid w:val="0094434A"/>
    <w:rsid w:val="009539B2"/>
    <w:rsid w:val="009730F0"/>
    <w:rsid w:val="00981AED"/>
    <w:rsid w:val="009821E5"/>
    <w:rsid w:val="00990D1F"/>
    <w:rsid w:val="009923E9"/>
    <w:rsid w:val="009955C5"/>
    <w:rsid w:val="009A1EF4"/>
    <w:rsid w:val="009A2822"/>
    <w:rsid w:val="009B3346"/>
    <w:rsid w:val="009D7AA8"/>
    <w:rsid w:val="009E1125"/>
    <w:rsid w:val="009E78DC"/>
    <w:rsid w:val="009E7FF6"/>
    <w:rsid w:val="009F1D31"/>
    <w:rsid w:val="009F2BD1"/>
    <w:rsid w:val="00A15F9D"/>
    <w:rsid w:val="00A3144A"/>
    <w:rsid w:val="00A335D5"/>
    <w:rsid w:val="00A37FAD"/>
    <w:rsid w:val="00A4641F"/>
    <w:rsid w:val="00A6246E"/>
    <w:rsid w:val="00A66157"/>
    <w:rsid w:val="00A67D08"/>
    <w:rsid w:val="00A70F04"/>
    <w:rsid w:val="00A71DF1"/>
    <w:rsid w:val="00A72713"/>
    <w:rsid w:val="00A86873"/>
    <w:rsid w:val="00A9678A"/>
    <w:rsid w:val="00AA1F9E"/>
    <w:rsid w:val="00AA53E1"/>
    <w:rsid w:val="00AB7558"/>
    <w:rsid w:val="00AC0CE5"/>
    <w:rsid w:val="00AC2CB9"/>
    <w:rsid w:val="00AC7353"/>
    <w:rsid w:val="00AE05D2"/>
    <w:rsid w:val="00AE5F30"/>
    <w:rsid w:val="00AF1A69"/>
    <w:rsid w:val="00AF2735"/>
    <w:rsid w:val="00B00402"/>
    <w:rsid w:val="00B1500A"/>
    <w:rsid w:val="00B16193"/>
    <w:rsid w:val="00B2323B"/>
    <w:rsid w:val="00B37255"/>
    <w:rsid w:val="00B4414E"/>
    <w:rsid w:val="00B50A92"/>
    <w:rsid w:val="00B55426"/>
    <w:rsid w:val="00B56216"/>
    <w:rsid w:val="00B57A9B"/>
    <w:rsid w:val="00B71FCD"/>
    <w:rsid w:val="00B75CC9"/>
    <w:rsid w:val="00B7641E"/>
    <w:rsid w:val="00B84CEB"/>
    <w:rsid w:val="00B91424"/>
    <w:rsid w:val="00BA716E"/>
    <w:rsid w:val="00BB4447"/>
    <w:rsid w:val="00BC01BD"/>
    <w:rsid w:val="00BC2BC9"/>
    <w:rsid w:val="00BD45A9"/>
    <w:rsid w:val="00BE022C"/>
    <w:rsid w:val="00BF164A"/>
    <w:rsid w:val="00BF1788"/>
    <w:rsid w:val="00BF5044"/>
    <w:rsid w:val="00BF65E2"/>
    <w:rsid w:val="00C328F9"/>
    <w:rsid w:val="00C414F7"/>
    <w:rsid w:val="00C416EB"/>
    <w:rsid w:val="00C5420C"/>
    <w:rsid w:val="00C60698"/>
    <w:rsid w:val="00C60DD0"/>
    <w:rsid w:val="00C66B4E"/>
    <w:rsid w:val="00C67E53"/>
    <w:rsid w:val="00C85238"/>
    <w:rsid w:val="00CA785A"/>
    <w:rsid w:val="00CB0FCC"/>
    <w:rsid w:val="00CB3767"/>
    <w:rsid w:val="00CC1F2A"/>
    <w:rsid w:val="00CC5004"/>
    <w:rsid w:val="00CD22D2"/>
    <w:rsid w:val="00D00D15"/>
    <w:rsid w:val="00D16513"/>
    <w:rsid w:val="00D20057"/>
    <w:rsid w:val="00D243A2"/>
    <w:rsid w:val="00D26692"/>
    <w:rsid w:val="00D350F7"/>
    <w:rsid w:val="00D40CE9"/>
    <w:rsid w:val="00D503B1"/>
    <w:rsid w:val="00D57B06"/>
    <w:rsid w:val="00D72AE2"/>
    <w:rsid w:val="00D83573"/>
    <w:rsid w:val="00D87281"/>
    <w:rsid w:val="00D90010"/>
    <w:rsid w:val="00D90642"/>
    <w:rsid w:val="00D9595F"/>
    <w:rsid w:val="00DA3DDB"/>
    <w:rsid w:val="00DA4F5E"/>
    <w:rsid w:val="00DC1678"/>
    <w:rsid w:val="00DC7866"/>
    <w:rsid w:val="00DD2B6B"/>
    <w:rsid w:val="00DD61CA"/>
    <w:rsid w:val="00DE7656"/>
    <w:rsid w:val="00DF3F66"/>
    <w:rsid w:val="00DF4F90"/>
    <w:rsid w:val="00E0433A"/>
    <w:rsid w:val="00E16FAD"/>
    <w:rsid w:val="00E22D25"/>
    <w:rsid w:val="00E2772A"/>
    <w:rsid w:val="00E27DCF"/>
    <w:rsid w:val="00E75F2C"/>
    <w:rsid w:val="00E82E95"/>
    <w:rsid w:val="00E844DE"/>
    <w:rsid w:val="00E93629"/>
    <w:rsid w:val="00E95CFE"/>
    <w:rsid w:val="00EA19D4"/>
    <w:rsid w:val="00EB5D6A"/>
    <w:rsid w:val="00EE6290"/>
    <w:rsid w:val="00EF041D"/>
    <w:rsid w:val="00EF3C7B"/>
    <w:rsid w:val="00F059FD"/>
    <w:rsid w:val="00F1172F"/>
    <w:rsid w:val="00F14FE4"/>
    <w:rsid w:val="00F15EC2"/>
    <w:rsid w:val="00F25768"/>
    <w:rsid w:val="00F27B07"/>
    <w:rsid w:val="00F30306"/>
    <w:rsid w:val="00F40106"/>
    <w:rsid w:val="00F46CE9"/>
    <w:rsid w:val="00F470EF"/>
    <w:rsid w:val="00F52F2A"/>
    <w:rsid w:val="00F53988"/>
    <w:rsid w:val="00F64707"/>
    <w:rsid w:val="00F70E4E"/>
    <w:rsid w:val="00F775CE"/>
    <w:rsid w:val="00F869DE"/>
    <w:rsid w:val="00F96AC7"/>
    <w:rsid w:val="00FB5382"/>
    <w:rsid w:val="00FB5A41"/>
    <w:rsid w:val="00FB6C03"/>
    <w:rsid w:val="00FE1778"/>
    <w:rsid w:val="00FE3186"/>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johnson@mehmc.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aine.gov/dhhs/sim/committees/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B9E54-9EC8-4DAD-B1F0-CD977310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Frank Johnson</cp:lastModifiedBy>
  <cp:revision>2</cp:revision>
  <cp:lastPrinted>2013-09-24T21:17:00Z</cp:lastPrinted>
  <dcterms:created xsi:type="dcterms:W3CDTF">2013-12-16T21:00:00Z</dcterms:created>
  <dcterms:modified xsi:type="dcterms:W3CDTF">2013-12-16T21:00:00Z</dcterms:modified>
</cp:coreProperties>
</file>